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clear" w:pos="1440"/>
          <w:tab w:val="clear" w:pos="5670"/>
        </w:tabs>
        <w:spacing w:beforeLines="0" w:afterLines="0"/>
        <w:ind w:firstLine="0" w:firstLineChars="0"/>
        <w:jc w:val="center"/>
        <w:rPr>
          <w:rFonts w:hint="eastAsia" w:ascii="黑体" w:hAnsi="黑体" w:eastAsia="黑体" w:cs="黑体"/>
          <w:kern w:val="2"/>
          <w:sz w:val="44"/>
          <w:szCs w:val="44"/>
        </w:rPr>
      </w:pPr>
      <w:bookmarkStart w:id="0" w:name="_Toc12353"/>
      <w:r>
        <w:rPr>
          <w:rFonts w:hint="eastAsia" w:ascii="黑体" w:hAnsi="黑体" w:eastAsia="黑体" w:cs="黑体"/>
          <w:kern w:val="2"/>
          <w:sz w:val="44"/>
          <w:szCs w:val="44"/>
        </w:rPr>
        <w:t>采</w:t>
      </w:r>
      <w:r>
        <w:rPr>
          <w:rFonts w:hint="eastAsia" w:hAnsi="黑体" w:cs="黑体"/>
          <w:kern w:val="2"/>
          <w:sz w:val="44"/>
          <w:szCs w:val="44"/>
          <w:lang w:val="en-US" w:eastAsia="zh-CN"/>
        </w:rPr>
        <w:t xml:space="preserve"> </w:t>
      </w:r>
      <w:r>
        <w:rPr>
          <w:rFonts w:hint="eastAsia" w:ascii="黑体" w:hAnsi="黑体" w:eastAsia="黑体" w:cs="黑体"/>
          <w:kern w:val="2"/>
          <w:sz w:val="44"/>
          <w:szCs w:val="44"/>
        </w:rPr>
        <w:t>购</w:t>
      </w:r>
      <w:r>
        <w:rPr>
          <w:rFonts w:hint="eastAsia" w:hAnsi="黑体" w:cs="黑体"/>
          <w:kern w:val="2"/>
          <w:sz w:val="44"/>
          <w:szCs w:val="44"/>
          <w:lang w:val="en-US" w:eastAsia="zh-CN"/>
        </w:rPr>
        <w:t xml:space="preserve"> </w:t>
      </w:r>
      <w:r>
        <w:rPr>
          <w:rFonts w:hint="eastAsia" w:ascii="黑体" w:hAnsi="黑体" w:eastAsia="黑体" w:cs="黑体"/>
          <w:kern w:val="2"/>
          <w:sz w:val="44"/>
          <w:szCs w:val="44"/>
        </w:rPr>
        <w:t>需</w:t>
      </w:r>
      <w:r>
        <w:rPr>
          <w:rFonts w:hint="eastAsia" w:hAnsi="黑体" w:cs="黑体"/>
          <w:kern w:val="2"/>
          <w:sz w:val="44"/>
          <w:szCs w:val="44"/>
          <w:lang w:val="en-US" w:eastAsia="zh-CN"/>
        </w:rPr>
        <w:t xml:space="preserve"> </w:t>
      </w:r>
      <w:r>
        <w:rPr>
          <w:rFonts w:hint="eastAsia" w:ascii="黑体" w:hAnsi="黑体" w:eastAsia="黑体" w:cs="黑体"/>
          <w:kern w:val="2"/>
          <w:sz w:val="44"/>
          <w:szCs w:val="44"/>
        </w:rPr>
        <w:t>求</w:t>
      </w:r>
      <w:bookmarkEnd w:id="0"/>
    </w:p>
    <w:p>
      <w:pPr>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一、商务要求</w:t>
      </w:r>
    </w:p>
    <w:tbl>
      <w:tblPr>
        <w:tblStyle w:val="14"/>
        <w:tblW w:w="8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391"/>
        <w:gridCol w:w="5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08" w:type="dxa"/>
            <w:vAlign w:val="center"/>
          </w:tcPr>
          <w:p>
            <w:pPr>
              <w:pStyle w:val="10"/>
              <w:jc w:val="center"/>
              <w:rPr>
                <w:rFonts w:hint="eastAsia" w:ascii="仿宋" w:hAnsi="仿宋" w:eastAsia="仿宋" w:cs="仿宋"/>
                <w:b/>
                <w:sz w:val="28"/>
                <w:szCs w:val="28"/>
              </w:rPr>
            </w:pPr>
            <w:r>
              <w:rPr>
                <w:rFonts w:hint="eastAsia" w:ascii="仿宋" w:hAnsi="仿宋" w:eastAsia="仿宋" w:cs="仿宋"/>
                <w:b/>
                <w:sz w:val="28"/>
                <w:szCs w:val="28"/>
              </w:rPr>
              <w:t>序号</w:t>
            </w:r>
          </w:p>
        </w:tc>
        <w:tc>
          <w:tcPr>
            <w:tcW w:w="2391" w:type="dxa"/>
            <w:vAlign w:val="center"/>
          </w:tcPr>
          <w:p>
            <w:pPr>
              <w:pStyle w:val="10"/>
              <w:jc w:val="center"/>
              <w:rPr>
                <w:rFonts w:hint="eastAsia" w:ascii="仿宋" w:hAnsi="仿宋" w:eastAsia="仿宋" w:cs="仿宋"/>
                <w:sz w:val="28"/>
                <w:szCs w:val="28"/>
              </w:rPr>
            </w:pPr>
            <w:r>
              <w:rPr>
                <w:rFonts w:hint="eastAsia" w:ascii="仿宋" w:hAnsi="仿宋" w:eastAsia="仿宋" w:cs="仿宋"/>
                <w:b/>
                <w:bCs/>
                <w:sz w:val="28"/>
                <w:szCs w:val="28"/>
              </w:rPr>
              <w:t>条款名称</w:t>
            </w:r>
          </w:p>
        </w:tc>
        <w:tc>
          <w:tcPr>
            <w:tcW w:w="5170" w:type="dxa"/>
            <w:vAlign w:val="center"/>
          </w:tcPr>
          <w:p>
            <w:pPr>
              <w:pStyle w:val="10"/>
              <w:jc w:val="center"/>
              <w:rPr>
                <w:rFonts w:hint="eastAsia" w:ascii="仿宋" w:hAnsi="仿宋" w:eastAsia="仿宋" w:cs="仿宋"/>
                <w:b/>
                <w:sz w:val="28"/>
                <w:szCs w:val="28"/>
              </w:rPr>
            </w:pPr>
            <w:r>
              <w:rPr>
                <w:rFonts w:hint="eastAsia" w:ascii="仿宋" w:hAnsi="仿宋" w:eastAsia="仿宋" w:cs="仿宋"/>
                <w:b/>
                <w:sz w:val="28"/>
                <w:szCs w:val="28"/>
              </w:rPr>
              <w:t>具体要求内容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80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239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付款方式</w:t>
            </w:r>
          </w:p>
        </w:tc>
        <w:tc>
          <w:tcPr>
            <w:tcW w:w="5170" w:type="dxa"/>
            <w:vAlign w:val="center"/>
          </w:tcPr>
          <w:p>
            <w:pPr>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服务完成，出具的出访报告审核通过后一次性付清成交价款</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80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2</w:t>
            </w:r>
          </w:p>
        </w:tc>
        <w:tc>
          <w:tcPr>
            <w:tcW w:w="239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服务地点</w:t>
            </w:r>
          </w:p>
        </w:tc>
        <w:tc>
          <w:tcPr>
            <w:tcW w:w="517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桐城师范高等专科学校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80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3</w:t>
            </w:r>
          </w:p>
        </w:tc>
        <w:tc>
          <w:tcPr>
            <w:tcW w:w="239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服务期限</w:t>
            </w:r>
          </w:p>
        </w:tc>
        <w:tc>
          <w:tcPr>
            <w:tcW w:w="5170" w:type="dxa"/>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至本次出访任务及全部手续办理结束</w:t>
            </w:r>
          </w:p>
        </w:tc>
      </w:tr>
    </w:tbl>
    <w:p>
      <w:pPr>
        <w:pStyle w:val="4"/>
        <w:numPr>
          <w:ilvl w:val="0"/>
          <w:numId w:val="1"/>
        </w:numPr>
        <w:spacing w:line="240" w:lineRule="auto"/>
        <w:ind w:firstLine="551" w:firstLineChars="196"/>
        <w:rPr>
          <w:rFonts w:hint="eastAsia" w:ascii="仿宋" w:hAnsi="仿宋" w:eastAsia="仿宋" w:cs="仿宋"/>
          <w:bCs/>
          <w:sz w:val="28"/>
          <w:szCs w:val="28"/>
        </w:rPr>
      </w:pPr>
      <w:r>
        <w:rPr>
          <w:rFonts w:hint="eastAsia" w:ascii="仿宋" w:hAnsi="仿宋" w:eastAsia="仿宋" w:cs="仿宋"/>
          <w:bCs/>
          <w:sz w:val="28"/>
          <w:szCs w:val="28"/>
        </w:rPr>
        <w:t>服务内容</w:t>
      </w:r>
    </w:p>
    <w:p>
      <w:pPr>
        <w:pStyle w:val="5"/>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桐城师范高等专科学校2024年因公出访俄罗斯、哈萨克斯坦两国第三方全程服务采购。</w:t>
      </w:r>
    </w:p>
    <w:p>
      <w:pPr>
        <w:pStyle w:val="4"/>
        <w:numPr>
          <w:ilvl w:val="0"/>
          <w:numId w:val="0"/>
        </w:numPr>
        <w:shd w:val="clear" w:color="auto" w:fill="FFFFFF"/>
        <w:spacing w:line="240" w:lineRule="auto"/>
        <w:ind w:firstLine="562"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三、</w:t>
      </w:r>
      <w:r>
        <w:rPr>
          <w:rFonts w:hint="eastAsia" w:ascii="仿宋" w:hAnsi="仿宋" w:eastAsia="仿宋" w:cs="仿宋"/>
          <w:bCs/>
          <w:sz w:val="28"/>
          <w:szCs w:val="28"/>
        </w:rPr>
        <w:t>服务需求</w:t>
      </w:r>
    </w:p>
    <w:tbl>
      <w:tblPr>
        <w:tblStyle w:val="14"/>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385"/>
        <w:gridCol w:w="4306"/>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484" w:type="pct"/>
            <w:vAlign w:val="center"/>
          </w:tcPr>
          <w:p>
            <w:pPr>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序号</w:t>
            </w:r>
          </w:p>
        </w:tc>
        <w:tc>
          <w:tcPr>
            <w:tcW w:w="1427" w:type="pct"/>
            <w:vAlign w:val="center"/>
          </w:tcPr>
          <w:p>
            <w:pPr>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服务内容</w:t>
            </w:r>
          </w:p>
        </w:tc>
        <w:tc>
          <w:tcPr>
            <w:tcW w:w="2577" w:type="pct"/>
            <w:vAlign w:val="center"/>
          </w:tcPr>
          <w:p>
            <w:pPr>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服务要求</w:t>
            </w:r>
          </w:p>
        </w:tc>
        <w:tc>
          <w:tcPr>
            <w:tcW w:w="510" w:type="pct"/>
            <w:vAlign w:val="center"/>
          </w:tcPr>
          <w:p>
            <w:pPr>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484" w:type="pct"/>
            <w:vAlign w:val="center"/>
          </w:tcPr>
          <w:p>
            <w:pPr>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1</w:t>
            </w:r>
          </w:p>
        </w:tc>
        <w:tc>
          <w:tcPr>
            <w:tcW w:w="1427" w:type="pct"/>
            <w:vAlign w:val="center"/>
          </w:tcPr>
          <w:p>
            <w:pPr>
              <w:pStyle w:val="2"/>
              <w:jc w:val="center"/>
              <w:rPr>
                <w:rFonts w:hint="eastAsia" w:ascii="仿宋" w:hAnsi="仿宋" w:eastAsia="仿宋" w:cs="仿宋"/>
                <w:sz w:val="28"/>
                <w:szCs w:val="28"/>
                <w:lang w:val="en-US" w:eastAsia="zh-CN"/>
              </w:rPr>
            </w:pPr>
            <w:r>
              <w:rPr>
                <w:rFonts w:hint="eastAsia" w:ascii="仿宋" w:hAnsi="仿宋" w:eastAsia="仿宋" w:cs="仿宋"/>
                <w:b w:val="0"/>
                <w:bCs w:val="0"/>
                <w:color w:val="000000"/>
                <w:kern w:val="2"/>
                <w:sz w:val="28"/>
                <w:szCs w:val="28"/>
                <w:lang w:val="en-US" w:eastAsia="zh-CN" w:bidi="ar-SA"/>
              </w:rPr>
              <w:t>方案设计</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 w:hAnsi="仿宋" w:eastAsia="仿宋" w:cs="仿宋"/>
                <w:b w:val="0"/>
                <w:bCs w:val="0"/>
                <w:sz w:val="28"/>
                <w:szCs w:val="28"/>
              </w:rPr>
            </w:pPr>
            <w:r>
              <w:rPr>
                <w:rFonts w:hint="eastAsia" w:ascii="仿宋" w:hAnsi="仿宋" w:eastAsia="仿宋" w:cs="仿宋"/>
                <w:sz w:val="28"/>
                <w:szCs w:val="28"/>
              </w:rPr>
              <w:t>向</w:t>
            </w:r>
            <w:r>
              <w:rPr>
                <w:rFonts w:hint="eastAsia" w:ascii="仿宋" w:hAnsi="仿宋" w:eastAsia="仿宋" w:cs="仿宋"/>
                <w:sz w:val="28"/>
                <w:szCs w:val="28"/>
                <w:lang w:eastAsia="zh-CN"/>
              </w:rPr>
              <w:t>校</w:t>
            </w:r>
            <w:r>
              <w:rPr>
                <w:rFonts w:hint="eastAsia" w:ascii="仿宋" w:hAnsi="仿宋" w:eastAsia="仿宋" w:cs="仿宋"/>
                <w:sz w:val="28"/>
                <w:szCs w:val="28"/>
              </w:rPr>
              <w:t>方提供</w:t>
            </w:r>
            <w:r>
              <w:rPr>
                <w:rFonts w:hint="eastAsia" w:ascii="仿宋" w:hAnsi="仿宋" w:eastAsia="仿宋" w:cs="仿宋"/>
                <w:sz w:val="28"/>
                <w:szCs w:val="28"/>
                <w:lang w:eastAsia="zh-CN"/>
              </w:rPr>
              <w:t>考察交流</w:t>
            </w:r>
            <w:r>
              <w:rPr>
                <w:rFonts w:hint="eastAsia" w:ascii="仿宋" w:hAnsi="仿宋" w:eastAsia="仿宋" w:cs="仿宋"/>
                <w:sz w:val="28"/>
                <w:szCs w:val="28"/>
              </w:rPr>
              <w:t>前往国家的教育概况、院校、院系、专业的信息，供</w:t>
            </w:r>
            <w:r>
              <w:rPr>
                <w:rFonts w:hint="eastAsia" w:ascii="仿宋" w:hAnsi="仿宋" w:eastAsia="仿宋" w:cs="仿宋"/>
                <w:sz w:val="28"/>
                <w:szCs w:val="28"/>
                <w:lang w:eastAsia="zh-CN"/>
              </w:rPr>
              <w:t>校</w:t>
            </w:r>
            <w:r>
              <w:rPr>
                <w:rFonts w:hint="eastAsia" w:ascii="仿宋" w:hAnsi="仿宋" w:eastAsia="仿宋" w:cs="仿宋"/>
                <w:sz w:val="28"/>
                <w:szCs w:val="28"/>
              </w:rPr>
              <w:t>方参考。提供相应的建议</w:t>
            </w:r>
            <w:r>
              <w:rPr>
                <w:rFonts w:hint="eastAsia" w:ascii="仿宋" w:hAnsi="仿宋" w:eastAsia="仿宋" w:cs="仿宋"/>
                <w:sz w:val="28"/>
                <w:szCs w:val="28"/>
                <w:lang w:val="en-US" w:eastAsia="zh-CN"/>
              </w:rPr>
              <w:t>方案</w:t>
            </w:r>
            <w:r>
              <w:rPr>
                <w:rFonts w:hint="eastAsia" w:ascii="仿宋" w:hAnsi="仿宋" w:eastAsia="仿宋" w:cs="仿宋"/>
                <w:sz w:val="28"/>
                <w:szCs w:val="28"/>
              </w:rPr>
              <w:t>，最终由</w:t>
            </w:r>
            <w:r>
              <w:rPr>
                <w:rFonts w:hint="eastAsia" w:ascii="仿宋" w:hAnsi="仿宋" w:eastAsia="仿宋" w:cs="仿宋"/>
                <w:sz w:val="28"/>
                <w:szCs w:val="28"/>
                <w:lang w:eastAsia="zh-CN"/>
              </w:rPr>
              <w:t>校</w:t>
            </w:r>
            <w:r>
              <w:rPr>
                <w:rFonts w:hint="eastAsia" w:ascii="仿宋" w:hAnsi="仿宋" w:eastAsia="仿宋" w:cs="仿宋"/>
                <w:sz w:val="28"/>
                <w:szCs w:val="28"/>
              </w:rPr>
              <w:t>方决定</w:t>
            </w:r>
            <w:r>
              <w:rPr>
                <w:rFonts w:hint="eastAsia" w:ascii="仿宋" w:hAnsi="仿宋" w:eastAsia="仿宋" w:cs="仿宋"/>
                <w:sz w:val="28"/>
                <w:szCs w:val="28"/>
                <w:lang w:eastAsia="zh-CN"/>
              </w:rPr>
              <w:t>考察</w:t>
            </w:r>
            <w:r>
              <w:rPr>
                <w:rFonts w:hint="eastAsia" w:ascii="仿宋" w:hAnsi="仿宋" w:eastAsia="仿宋" w:cs="仿宋"/>
                <w:sz w:val="28"/>
                <w:szCs w:val="28"/>
              </w:rPr>
              <w:t>方案。</w:t>
            </w:r>
          </w:p>
        </w:tc>
        <w:tc>
          <w:tcPr>
            <w:tcW w:w="510" w:type="pct"/>
            <w:vAlign w:val="center"/>
          </w:tcPr>
          <w:p>
            <w:pPr>
              <w:jc w:val="center"/>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84" w:type="pct"/>
            <w:vAlign w:val="center"/>
          </w:tcPr>
          <w:p>
            <w:pPr>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2</w:t>
            </w:r>
          </w:p>
        </w:tc>
        <w:tc>
          <w:tcPr>
            <w:tcW w:w="1427" w:type="pct"/>
            <w:vAlign w:val="center"/>
          </w:tcPr>
          <w:p>
            <w:pPr>
              <w:jc w:val="center"/>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外方院校对接</w:t>
            </w:r>
          </w:p>
        </w:tc>
        <w:tc>
          <w:tcPr>
            <w:tcW w:w="2577" w:type="pct"/>
            <w:vAlign w:val="center"/>
          </w:tcPr>
          <w:p>
            <w:pPr>
              <w:keepNext w:val="0"/>
              <w:keepLines w:val="0"/>
              <w:pageBreakBefore w:val="0"/>
              <w:widowControl/>
              <w:kinsoku/>
              <w:wordWrap/>
              <w:overflowPunct/>
              <w:topLinePunct w:val="0"/>
              <w:autoSpaceDE/>
              <w:autoSpaceDN/>
              <w:bidi w:val="0"/>
              <w:adjustRightInd/>
              <w:snapToGrid w:val="0"/>
              <w:spacing w:line="400" w:lineRule="exact"/>
              <w:textAlignment w:val="auto"/>
              <w:rPr>
                <w:rFonts w:hint="eastAsia" w:ascii="仿宋" w:hAnsi="仿宋" w:eastAsia="仿宋" w:cs="仿宋"/>
                <w:b w:val="0"/>
                <w:bCs w:val="0"/>
                <w:color w:val="000000"/>
                <w:kern w:val="0"/>
                <w:sz w:val="28"/>
                <w:szCs w:val="28"/>
              </w:rPr>
            </w:pPr>
            <w:r>
              <w:rPr>
                <w:rFonts w:hint="eastAsia" w:ascii="仿宋" w:hAnsi="仿宋" w:eastAsia="仿宋" w:cs="仿宋"/>
                <w:sz w:val="28"/>
                <w:szCs w:val="28"/>
                <w:lang w:val="en-US" w:eastAsia="zh-CN"/>
              </w:rPr>
              <w:t>负责对接俄罗斯阿尔泰国立大学、莫斯科国立大学、莫斯科国立师范大学、圣彼得堡国立经济大学、中哈国际语言学院、中亚经济技术学院六所学校，</w:t>
            </w:r>
            <w:r>
              <w:rPr>
                <w:rFonts w:hint="eastAsia" w:ascii="仿宋" w:hAnsi="仿宋" w:eastAsia="仿宋" w:cs="仿宋"/>
                <w:sz w:val="28"/>
                <w:szCs w:val="28"/>
                <w:lang w:eastAsia="zh-CN"/>
              </w:rPr>
              <w:t>指导校方准备考察交流的相关资料，</w:t>
            </w:r>
            <w:r>
              <w:rPr>
                <w:rFonts w:hint="eastAsia" w:ascii="仿宋" w:hAnsi="仿宋" w:eastAsia="仿宋" w:cs="仿宋"/>
                <w:sz w:val="28"/>
                <w:szCs w:val="28"/>
                <w:lang w:val="en-US" w:eastAsia="zh-CN"/>
              </w:rPr>
              <w:t>与国外院校进行沟通交流。</w:t>
            </w:r>
          </w:p>
        </w:tc>
        <w:tc>
          <w:tcPr>
            <w:tcW w:w="510" w:type="pct"/>
            <w:vAlign w:val="center"/>
          </w:tcPr>
          <w:p>
            <w:pPr>
              <w:jc w:val="center"/>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84" w:type="pct"/>
            <w:vAlign w:val="center"/>
          </w:tcPr>
          <w:p>
            <w:pPr>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3</w:t>
            </w:r>
          </w:p>
        </w:tc>
        <w:tc>
          <w:tcPr>
            <w:tcW w:w="1427" w:type="pct"/>
            <w:vAlign w:val="center"/>
          </w:tcPr>
          <w:p>
            <w:pPr>
              <w:jc w:val="center"/>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协助办理</w:t>
            </w:r>
          </w:p>
          <w:p>
            <w:pPr>
              <w:jc w:val="center"/>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出访手续</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ascii="仿宋" w:hAnsi="仿宋" w:eastAsia="仿宋" w:cs="仿宋"/>
                <w:b w:val="0"/>
                <w:bCs w:val="0"/>
                <w:sz w:val="28"/>
                <w:szCs w:val="28"/>
                <w:lang w:val="en-US" w:eastAsia="zh-CN"/>
              </w:rPr>
            </w:pPr>
            <w:r>
              <w:rPr>
                <w:rFonts w:hint="eastAsia" w:ascii="仿宋" w:hAnsi="仿宋" w:eastAsia="仿宋" w:cs="仿宋"/>
                <w:sz w:val="28"/>
                <w:szCs w:val="28"/>
                <w:lang w:val="en-US" w:eastAsia="zh-CN"/>
              </w:rPr>
              <w:t>介绍前往国家考察政策和签证政策，指导协助校方进行申请因公护照及签证准备，协助校方办理签证或入境批准文件。</w:t>
            </w:r>
          </w:p>
        </w:tc>
        <w:tc>
          <w:tcPr>
            <w:tcW w:w="510" w:type="pct"/>
            <w:vAlign w:val="center"/>
          </w:tcPr>
          <w:p>
            <w:pPr>
              <w:jc w:val="center"/>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84" w:type="pct"/>
            <w:vAlign w:val="center"/>
          </w:tcPr>
          <w:p>
            <w:pPr>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4</w:t>
            </w:r>
          </w:p>
        </w:tc>
        <w:tc>
          <w:tcPr>
            <w:tcW w:w="2385" w:type="dxa"/>
            <w:vAlign w:val="center"/>
          </w:tcPr>
          <w:p>
            <w:pPr>
              <w:jc w:val="center"/>
              <w:rPr>
                <w:rFonts w:hint="eastAsia" w:ascii="仿宋" w:hAnsi="仿宋" w:eastAsia="仿宋" w:cs="仿宋"/>
                <w:b w:val="0"/>
                <w:bCs w:val="0"/>
                <w:color w:val="000000"/>
                <w:kern w:val="0"/>
                <w:sz w:val="28"/>
                <w:szCs w:val="28"/>
                <w:lang w:val="en-US"/>
              </w:rPr>
            </w:pPr>
            <w:r>
              <w:rPr>
                <w:rFonts w:hint="eastAsia" w:ascii="仿宋" w:hAnsi="仿宋" w:eastAsia="仿宋" w:cs="仿宋"/>
                <w:b w:val="0"/>
                <w:bCs w:val="0"/>
                <w:color w:val="000000"/>
                <w:kern w:val="0"/>
                <w:sz w:val="28"/>
                <w:szCs w:val="28"/>
                <w:lang w:val="en-US" w:eastAsia="zh-CN"/>
              </w:rPr>
              <w:t>翻译服务</w:t>
            </w:r>
          </w:p>
        </w:tc>
        <w:tc>
          <w:tcPr>
            <w:tcW w:w="4306" w:type="dxa"/>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ascii="仿宋" w:hAnsi="仿宋" w:eastAsia="仿宋" w:cs="仿宋"/>
                <w:b w:val="0"/>
                <w:bCs w:val="0"/>
                <w:color w:val="000000"/>
                <w:kern w:val="0"/>
                <w:sz w:val="28"/>
                <w:szCs w:val="28"/>
              </w:rPr>
            </w:pPr>
            <w:r>
              <w:rPr>
                <w:rFonts w:hint="eastAsia" w:ascii="仿宋" w:hAnsi="仿宋" w:eastAsia="仿宋" w:cs="仿宋"/>
                <w:b w:val="0"/>
                <w:bCs w:val="0"/>
                <w:sz w:val="28"/>
                <w:szCs w:val="28"/>
                <w:lang w:val="en-US" w:eastAsia="zh-CN"/>
              </w:rPr>
              <w:t>出访期间全程陪同并提供翻译服务。</w:t>
            </w:r>
          </w:p>
        </w:tc>
        <w:tc>
          <w:tcPr>
            <w:tcW w:w="852" w:type="dxa"/>
            <w:vAlign w:val="center"/>
          </w:tcPr>
          <w:p>
            <w:pPr>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84" w:type="pct"/>
            <w:vAlign w:val="center"/>
          </w:tcPr>
          <w:p>
            <w:pPr>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5</w:t>
            </w:r>
          </w:p>
        </w:tc>
        <w:tc>
          <w:tcPr>
            <w:tcW w:w="1427" w:type="pct"/>
            <w:vAlign w:val="center"/>
          </w:tcPr>
          <w:p>
            <w:pPr>
              <w:jc w:val="center"/>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境外考察安排</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确定访问学校的的会议安排并提前准备好资料、协议；按照相关政策和规定合理安排出访期间的交通、住宿、餐饮。</w:t>
            </w:r>
          </w:p>
        </w:tc>
        <w:tc>
          <w:tcPr>
            <w:tcW w:w="510" w:type="pct"/>
            <w:vAlign w:val="center"/>
          </w:tcPr>
          <w:p>
            <w:pPr>
              <w:jc w:val="center"/>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84" w:type="pct"/>
            <w:vAlign w:val="center"/>
          </w:tcPr>
          <w:p>
            <w:pPr>
              <w:jc w:val="center"/>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6</w:t>
            </w:r>
          </w:p>
        </w:tc>
        <w:tc>
          <w:tcPr>
            <w:tcW w:w="1427" w:type="pct"/>
            <w:vAlign w:val="center"/>
          </w:tcPr>
          <w:p>
            <w:pPr>
              <w:jc w:val="center"/>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出访报告</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协助校方完成出访后的公示、回国后向省市外办的汇报材料。</w:t>
            </w:r>
          </w:p>
        </w:tc>
        <w:tc>
          <w:tcPr>
            <w:tcW w:w="510" w:type="pct"/>
            <w:vAlign w:val="center"/>
          </w:tcPr>
          <w:p>
            <w:pPr>
              <w:jc w:val="center"/>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1</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因公出国（境）事务服务商需按照要求做好以下工作：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rightChars="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1.紧密跟踪各国出入境及签证政策，协助签证办理，包括但不限于以下服务：协助提供机票行程单、保险单等签证材料，必要时协助填写外文签证申请表等。</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rightChars="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服务商需根据访问计划，按照要求设计公务活动线路，提供合理的访问日程安排，协助签证办理，预定国际机票、购买相关保险、安排食宿及交通等，严格执行《安徽省省直党政机关因公临时出国经费管理办法》（财行〔2014〕104号）和《财政部 外交部关于调整因公临时出国住宿费标准等有关事项的通知》（财行〔2017〕434号）文件的规定，确保公务活动顺利完成。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rightChars="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机票：按规定购买国际间机票；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保险：按出访国家要求购买；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住宿、餐食、公杂费、城市间交通费等按国家有关规定执行。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因公出国（境）事务服务商还应熟悉我国和访问国有关法律和规定，具有接待因公出国（境）团组的能力；具有丰富的政府、高校访问团执行经验；有可靠的境外合作渠道，可以按照要求设计公务活动线路，提供合理的访问日程安排，预定会议室、住宿房间、安排交通等，确保公务活动顺利完成，并且符合国家外事相关规定；保证高签证率，紧密跟踪各国签证政策，协助办理签证事宜；负责办理国际机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4.服务商应对出访信息做好相关保密工作，中标后，与采购人签订相关保密协议。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5.合同履行期限：本次出访任务及全部手续办理结束。</w:t>
      </w:r>
    </w:p>
    <w:p>
      <w:pPr>
        <w:pStyle w:val="4"/>
        <w:pageBreakBefore w:val="0"/>
        <w:numPr>
          <w:ilvl w:val="0"/>
          <w:numId w:val="0"/>
        </w:numPr>
        <w:kinsoku/>
        <w:overflowPunct/>
        <w:topLinePunct w:val="0"/>
        <w:autoSpaceDE/>
        <w:autoSpaceDN/>
        <w:bidi w:val="0"/>
        <w:adjustRightInd/>
        <w:snapToGrid/>
        <w:spacing w:line="560" w:lineRule="exact"/>
        <w:ind w:firstLine="562"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四、</w:t>
      </w:r>
      <w:r>
        <w:rPr>
          <w:rFonts w:hint="eastAsia" w:ascii="仿宋" w:hAnsi="仿宋" w:eastAsia="仿宋" w:cs="仿宋"/>
          <w:sz w:val="28"/>
          <w:szCs w:val="28"/>
        </w:rPr>
        <w:t>其他需求</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1.提供的服务方案要科学合理，内容要全面，配置专业的服务团队。</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2.</w:t>
      </w:r>
      <w:r>
        <w:rPr>
          <w:rFonts w:hint="eastAsia" w:ascii="仿宋" w:hAnsi="仿宋" w:eastAsia="仿宋" w:cs="仿宋"/>
          <w:kern w:val="2"/>
          <w:sz w:val="28"/>
          <w:szCs w:val="28"/>
          <w:lang w:val="en-US" w:eastAsia="zh-CN" w:bidi="ar-SA"/>
        </w:rPr>
        <w:t>服务商具有丰富的政府、高校访问团的执行经验</w:t>
      </w:r>
      <w:r>
        <w:rPr>
          <w:rFonts w:hint="eastAsia" w:ascii="仿宋" w:hAnsi="仿宋" w:eastAsia="仿宋" w:cs="仿宋"/>
          <w:color w:val="FF0000"/>
          <w:kern w:val="2"/>
          <w:sz w:val="28"/>
          <w:szCs w:val="28"/>
          <w:lang w:val="en-US" w:eastAsia="zh-CN" w:bidi="ar-SA"/>
        </w:rPr>
        <w:t>并至少提供一项成功案例。</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b w:val="0"/>
          <w:bCs w:val="0"/>
          <w:color w:val="FF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3.</w:t>
      </w:r>
      <w:r>
        <w:rPr>
          <w:rFonts w:hint="eastAsia" w:ascii="仿宋" w:hAnsi="仿宋" w:eastAsia="仿宋" w:cs="仿宋"/>
          <w:b w:val="0"/>
          <w:bCs w:val="0"/>
          <w:color w:val="FF0000"/>
          <w:kern w:val="2"/>
          <w:sz w:val="28"/>
          <w:szCs w:val="28"/>
          <w:lang w:val="en-US" w:eastAsia="zh-CN" w:bidi="ar-SA"/>
        </w:rPr>
        <w:t>具有与出访的六所高校合作的证明和材料，至少提供包含一所俄罗斯大学、一所哈萨克斯坦大学在内的三所学校以上的合作协议或授权书的扫描件或影印件。</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562" w:firstLineChars="200"/>
        <w:jc w:val="both"/>
        <w:textAlignment w:val="auto"/>
        <w:rPr>
          <w:rFonts w:hint="eastAsia" w:ascii="仿宋" w:hAnsi="仿宋" w:eastAsia="仿宋" w:cs="仿宋"/>
          <w:b/>
          <w:kern w:val="2"/>
          <w:sz w:val="28"/>
          <w:szCs w:val="28"/>
          <w:shd w:val="clear" w:color="auto" w:fill="FFFFFF"/>
          <w:lang w:val="en-US" w:eastAsia="zh-CN" w:bidi="ar-SA"/>
        </w:rPr>
      </w:pPr>
      <w:r>
        <w:rPr>
          <w:rFonts w:hint="eastAsia" w:ascii="仿宋" w:hAnsi="仿宋" w:eastAsia="仿宋" w:cs="仿宋"/>
          <w:b/>
          <w:kern w:val="2"/>
          <w:sz w:val="28"/>
          <w:szCs w:val="28"/>
          <w:shd w:val="clear" w:color="auto" w:fill="FFFFFF"/>
          <w:lang w:val="en-US" w:eastAsia="zh-CN" w:bidi="ar-SA"/>
        </w:rPr>
        <w:t>供应商资质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1.中华人民共和国境内注册的具有独立承担民事责任能力的企业法人；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2.参加政府采购活动前三年内，在经营活动中没有重大违法记录；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3.未被“信用中国”网站（www.creditchina.gov.cn）列入失信被执行人、重大税收违法案件当事人名单、政府采购严重失信行为记录名单；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4.本项目不接受联合体参加投标，投标人必须具备独立提供服务的能力，成交后不允许分包或转包；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5.本次投标必须由法定代表人或其委托代理人（具有法定代表人签署的授权书）参加。</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br w:type="page"/>
      </w:r>
    </w:p>
    <w:p>
      <w:pPr>
        <w:ind w:firstLine="420"/>
        <w:rPr>
          <w:rFonts w:hint="eastAsia" w:ascii="仿宋" w:hAnsi="仿宋" w:eastAsia="仿宋" w:cs="仿宋"/>
          <w:kern w:val="2"/>
          <w:sz w:val="28"/>
          <w:szCs w:val="28"/>
          <w:lang w:val="en-US" w:eastAsia="zh-CN" w:bidi="ar-SA"/>
        </w:rPr>
        <w:sectPr>
          <w:pgSz w:w="11906" w:h="16838"/>
          <w:pgMar w:top="1270" w:right="1800" w:bottom="1270" w:left="1800" w:header="851" w:footer="992" w:gutter="0"/>
          <w:cols w:space="425" w:num="1"/>
          <w:docGrid w:type="lines" w:linePitch="312" w:charSpace="0"/>
        </w:sect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center"/>
        <w:textAlignment w:val="auto"/>
        <w:rPr>
          <w:rFonts w:hint="eastAsia" w:ascii="仿宋" w:hAnsi="仿宋" w:eastAsia="仿宋" w:cs="仿宋"/>
          <w:b/>
          <w:sz w:val="28"/>
          <w:szCs w:val="28"/>
        </w:rPr>
      </w:pPr>
      <w:r>
        <w:rPr>
          <w:rFonts w:hint="eastAsia" w:ascii="仿宋" w:hAnsi="仿宋" w:eastAsia="仿宋" w:cs="仿宋"/>
          <w:b/>
          <w:sz w:val="28"/>
          <w:szCs w:val="28"/>
          <w:lang w:eastAsia="zh-CN"/>
        </w:rPr>
        <w:t>因公出国（境）团组服务</w:t>
      </w:r>
      <w:r>
        <w:rPr>
          <w:rFonts w:hint="eastAsia" w:ascii="仿宋" w:hAnsi="仿宋" w:eastAsia="仿宋" w:cs="仿宋"/>
          <w:b/>
          <w:sz w:val="28"/>
          <w:szCs w:val="28"/>
        </w:rPr>
        <w:t>采购内容</w:t>
      </w:r>
    </w:p>
    <w:tbl>
      <w:tblPr>
        <w:tblStyle w:val="14"/>
        <w:tblpPr w:leftFromText="180" w:rightFromText="180" w:vertAnchor="text" w:horzAnchor="page" w:tblpX="1187" w:tblpY="608"/>
        <w:tblOverlap w:val="never"/>
        <w:tblW w:w="14261" w:type="dxa"/>
        <w:tblInd w:w="0" w:type="dxa"/>
        <w:tblLayout w:type="autofit"/>
        <w:tblCellMar>
          <w:top w:w="0" w:type="dxa"/>
          <w:left w:w="108" w:type="dxa"/>
          <w:bottom w:w="0" w:type="dxa"/>
          <w:right w:w="108" w:type="dxa"/>
        </w:tblCellMar>
      </w:tblPr>
      <w:tblGrid>
        <w:gridCol w:w="795"/>
        <w:gridCol w:w="2681"/>
        <w:gridCol w:w="8730"/>
        <w:gridCol w:w="2055"/>
      </w:tblGrid>
      <w:tr>
        <w:tblPrEx>
          <w:tblCellMar>
            <w:top w:w="0" w:type="dxa"/>
            <w:left w:w="108" w:type="dxa"/>
            <w:bottom w:w="0" w:type="dxa"/>
            <w:right w:w="108" w:type="dxa"/>
          </w:tblCellMar>
        </w:tblPrEx>
        <w:trPr>
          <w:trHeight w:val="455" w:hRule="atLeast"/>
        </w:trPr>
        <w:tc>
          <w:tcPr>
            <w:tcW w:w="79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rPr>
              <w:t>序</w:t>
            </w:r>
            <w:r>
              <w:rPr>
                <w:rFonts w:hint="eastAsia" w:ascii="仿宋" w:hAnsi="仿宋" w:eastAsia="仿宋" w:cs="仿宋"/>
                <w:b/>
                <w:bCs/>
                <w:color w:val="000000"/>
                <w:kern w:val="0"/>
                <w:sz w:val="28"/>
                <w:szCs w:val="28"/>
                <w:lang w:val="en-US" w:eastAsia="zh-CN"/>
              </w:rPr>
              <w:t>号</w:t>
            </w:r>
          </w:p>
        </w:tc>
        <w:tc>
          <w:tcPr>
            <w:tcW w:w="2681"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ind w:left="-134" w:leftChars="-64"/>
              <w:jc w:val="center"/>
              <w:rPr>
                <w:rFonts w:hint="eastAsia" w:ascii="仿宋" w:hAnsi="仿宋" w:eastAsia="仿宋" w:cs="仿宋"/>
                <w:b/>
                <w:bCs/>
                <w:color w:val="000000"/>
                <w:kern w:val="0"/>
                <w:sz w:val="28"/>
                <w:szCs w:val="28"/>
                <w:lang w:eastAsia="zh-CN"/>
              </w:rPr>
            </w:pPr>
            <w:r>
              <w:rPr>
                <w:rFonts w:hint="eastAsia" w:ascii="仿宋" w:hAnsi="仿宋" w:eastAsia="仿宋" w:cs="仿宋"/>
                <w:b/>
                <w:bCs/>
                <w:color w:val="000000"/>
                <w:kern w:val="0"/>
                <w:sz w:val="28"/>
                <w:szCs w:val="28"/>
                <w:lang w:val="en-US" w:eastAsia="zh-CN"/>
              </w:rPr>
              <w:t>名称</w:t>
            </w:r>
          </w:p>
        </w:tc>
        <w:tc>
          <w:tcPr>
            <w:tcW w:w="87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项目需求</w:t>
            </w:r>
          </w:p>
        </w:tc>
        <w:tc>
          <w:tcPr>
            <w:tcW w:w="2055"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lang w:val="en-US" w:eastAsia="zh-CN"/>
              </w:rPr>
              <w:t>金额</w:t>
            </w:r>
            <w:r>
              <w:rPr>
                <w:rFonts w:hint="eastAsia" w:ascii="仿宋" w:hAnsi="仿宋" w:eastAsia="仿宋" w:cs="仿宋"/>
                <w:b/>
                <w:bCs/>
                <w:color w:val="000000"/>
                <w:kern w:val="0"/>
                <w:sz w:val="28"/>
                <w:szCs w:val="28"/>
              </w:rPr>
              <w:t>（元）</w:t>
            </w:r>
          </w:p>
        </w:tc>
      </w:tr>
      <w:tr>
        <w:tblPrEx>
          <w:tblCellMar>
            <w:top w:w="0" w:type="dxa"/>
            <w:left w:w="108" w:type="dxa"/>
            <w:bottom w:w="0" w:type="dxa"/>
            <w:right w:w="108" w:type="dxa"/>
          </w:tblCellMar>
        </w:tblPrEx>
        <w:trPr>
          <w:trHeight w:val="592" w:hRule="atLeast"/>
        </w:trPr>
        <w:tc>
          <w:tcPr>
            <w:tcW w:w="79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268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仿宋" w:hAnsi="仿宋" w:eastAsia="仿宋" w:cs="仿宋"/>
                <w:color w:val="000000"/>
                <w:kern w:val="0"/>
                <w:sz w:val="28"/>
                <w:szCs w:val="28"/>
              </w:rPr>
            </w:pPr>
            <w:r>
              <w:rPr>
                <w:rFonts w:hint="eastAsia" w:ascii="仿宋" w:hAnsi="仿宋" w:eastAsia="仿宋" w:cs="仿宋"/>
                <w:sz w:val="28"/>
                <w:szCs w:val="28"/>
                <w:vertAlign w:val="baseline"/>
                <w:lang w:val="en-US" w:eastAsia="zh-CN"/>
              </w:rPr>
              <w:t>代理费</w:t>
            </w:r>
          </w:p>
        </w:tc>
        <w:tc>
          <w:tcPr>
            <w:tcW w:w="87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val="0"/>
              <w:spacing w:line="40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负责对接俄罗斯阿尔泰国立大学、莫斯科国立大学、莫斯科国立师范大学、圣彼得堡国立经济大学、中哈国际语言学院、中亚技术经济学院六所学校</w:t>
            </w:r>
          </w:p>
        </w:tc>
        <w:tc>
          <w:tcPr>
            <w:tcW w:w="2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color w:val="000000"/>
                <w:kern w:val="0"/>
                <w:sz w:val="28"/>
                <w:szCs w:val="28"/>
                <w:lang w:val="en-US" w:eastAsia="zh-CN"/>
              </w:rPr>
            </w:pPr>
          </w:p>
        </w:tc>
      </w:tr>
      <w:tr>
        <w:tblPrEx>
          <w:tblCellMar>
            <w:top w:w="0" w:type="dxa"/>
            <w:left w:w="108" w:type="dxa"/>
            <w:bottom w:w="0" w:type="dxa"/>
            <w:right w:w="108" w:type="dxa"/>
          </w:tblCellMar>
        </w:tblPrEx>
        <w:trPr>
          <w:trHeight w:val="592" w:hRule="atLeast"/>
        </w:trPr>
        <w:tc>
          <w:tcPr>
            <w:tcW w:w="79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268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仿宋" w:hAnsi="仿宋" w:eastAsia="仿宋" w:cs="仿宋"/>
                <w:color w:val="000000"/>
                <w:kern w:val="0"/>
                <w:sz w:val="28"/>
                <w:szCs w:val="28"/>
              </w:rPr>
            </w:pPr>
            <w:r>
              <w:rPr>
                <w:rFonts w:hint="eastAsia" w:ascii="仿宋" w:hAnsi="仿宋" w:eastAsia="仿宋" w:cs="仿宋"/>
                <w:sz w:val="28"/>
                <w:szCs w:val="28"/>
                <w:vertAlign w:val="baseline"/>
                <w:lang w:val="en-US" w:eastAsia="zh-CN"/>
              </w:rPr>
              <w:t>会议安排</w:t>
            </w:r>
          </w:p>
        </w:tc>
        <w:tc>
          <w:tcPr>
            <w:tcW w:w="87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rPr>
                <w:rFonts w:hint="eastAsia" w:ascii="仿宋" w:hAnsi="仿宋" w:eastAsia="仿宋" w:cs="仿宋"/>
                <w:color w:val="000000"/>
                <w:kern w:val="0"/>
                <w:sz w:val="28"/>
                <w:szCs w:val="28"/>
                <w:lang w:val="en-US"/>
              </w:rPr>
            </w:pPr>
            <w:r>
              <w:rPr>
                <w:rFonts w:hint="eastAsia" w:ascii="仿宋" w:hAnsi="仿宋" w:eastAsia="仿宋" w:cs="仿宋"/>
                <w:sz w:val="28"/>
                <w:szCs w:val="28"/>
                <w:lang w:val="en-US" w:eastAsia="zh-CN"/>
              </w:rPr>
              <w:t>联系出访六所大学的会议安排及资料提供</w:t>
            </w:r>
          </w:p>
        </w:tc>
        <w:tc>
          <w:tcPr>
            <w:tcW w:w="2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color w:val="000000"/>
                <w:kern w:val="0"/>
                <w:sz w:val="28"/>
                <w:szCs w:val="28"/>
                <w:lang w:val="en-US" w:eastAsia="zh-CN"/>
              </w:rPr>
            </w:pPr>
          </w:p>
        </w:tc>
      </w:tr>
      <w:tr>
        <w:tblPrEx>
          <w:tblCellMar>
            <w:top w:w="0" w:type="dxa"/>
            <w:left w:w="108" w:type="dxa"/>
            <w:bottom w:w="0" w:type="dxa"/>
            <w:right w:w="108" w:type="dxa"/>
          </w:tblCellMar>
        </w:tblPrEx>
        <w:trPr>
          <w:trHeight w:val="592" w:hRule="atLeast"/>
        </w:trPr>
        <w:tc>
          <w:tcPr>
            <w:tcW w:w="79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268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仿宋" w:hAnsi="仿宋" w:eastAsia="仿宋" w:cs="仿宋"/>
                <w:color w:val="000000"/>
                <w:kern w:val="0"/>
                <w:sz w:val="28"/>
                <w:szCs w:val="28"/>
              </w:rPr>
            </w:pPr>
            <w:r>
              <w:rPr>
                <w:rFonts w:hint="eastAsia" w:ascii="仿宋" w:hAnsi="仿宋" w:eastAsia="仿宋" w:cs="仿宋"/>
                <w:sz w:val="28"/>
                <w:szCs w:val="28"/>
                <w:vertAlign w:val="baseline"/>
                <w:lang w:val="en-US" w:eastAsia="zh-CN"/>
              </w:rPr>
              <w:t>交通费</w:t>
            </w:r>
          </w:p>
        </w:tc>
        <w:tc>
          <w:tcPr>
            <w:tcW w:w="87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17"/>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contextualSpacing/>
              <w:textAlignment w:val="auto"/>
              <w:rPr>
                <w:rFonts w:hint="eastAsia" w:ascii="仿宋" w:hAnsi="仿宋" w:eastAsia="仿宋" w:cs="仿宋"/>
                <w:color w:val="000000" w:themeColor="text1"/>
                <w:kern w:val="0"/>
                <w:sz w:val="28"/>
                <w:szCs w:val="28"/>
                <w:lang w:val="en-US" w:eastAsia="zh-CN"/>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莫斯科、巴尔瑙尔、圣彼得堡、阿拉木图4地交通费（</w:t>
            </w:r>
            <w:r>
              <w:rPr>
                <w:rFonts w:hint="eastAsia" w:ascii="仿宋" w:hAnsi="仿宋" w:eastAsia="仿宋" w:cs="仿宋"/>
                <w:color w:val="000000" w:themeColor="text1"/>
                <w:kern w:val="0"/>
                <w:sz w:val="28"/>
                <w:szCs w:val="28"/>
                <w:rtl w:val="0"/>
                <w:lang w:val="en-US" w:eastAsia="zh-CN"/>
                <w14:textFill>
                  <w14:solidFill>
                    <w14:schemeClr w14:val="tx1"/>
                  </w14:solidFill>
                </w14:textFill>
              </w:rPr>
              <w:t>商务17座，配俄罗斯本地司机</w:t>
            </w:r>
            <w:r>
              <w:rPr>
                <w:rFonts w:hint="eastAsia" w:ascii="仿宋" w:hAnsi="仿宋" w:eastAsia="仿宋" w:cs="仿宋"/>
                <w:color w:val="000000" w:themeColor="text1"/>
                <w:kern w:val="0"/>
                <w:sz w:val="28"/>
                <w:szCs w:val="28"/>
                <w:lang w:val="en-US" w:eastAsia="zh-CN"/>
                <w14:textFill>
                  <w14:solidFill>
                    <w14:schemeClr w14:val="tx1"/>
                  </w14:solidFill>
                </w14:textFill>
              </w:rPr>
              <w:t>）</w:t>
            </w:r>
          </w:p>
        </w:tc>
        <w:tc>
          <w:tcPr>
            <w:tcW w:w="2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contextualSpacing/>
              <w:jc w:val="center"/>
              <w:rPr>
                <w:rFonts w:hint="eastAsia" w:ascii="仿宋" w:hAnsi="仿宋" w:eastAsia="仿宋" w:cs="仿宋"/>
                <w:color w:val="000000" w:themeColor="text1"/>
                <w:kern w:val="0"/>
                <w:sz w:val="28"/>
                <w:szCs w:val="28"/>
                <w:lang w:val="en-US" w:eastAsia="zh-CN"/>
                <w14:textFill>
                  <w14:solidFill>
                    <w14:schemeClr w14:val="tx1"/>
                  </w14:solidFill>
                </w14:textFill>
              </w:rPr>
            </w:pPr>
          </w:p>
        </w:tc>
      </w:tr>
      <w:tr>
        <w:tblPrEx>
          <w:tblCellMar>
            <w:top w:w="0" w:type="dxa"/>
            <w:left w:w="108" w:type="dxa"/>
            <w:bottom w:w="0" w:type="dxa"/>
            <w:right w:w="108" w:type="dxa"/>
          </w:tblCellMar>
        </w:tblPrEx>
        <w:trPr>
          <w:trHeight w:val="592" w:hRule="atLeast"/>
        </w:trPr>
        <w:tc>
          <w:tcPr>
            <w:tcW w:w="79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268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仿宋" w:hAnsi="仿宋" w:eastAsia="仿宋" w:cs="仿宋"/>
                <w:color w:val="000000"/>
                <w:kern w:val="0"/>
                <w:sz w:val="28"/>
                <w:szCs w:val="28"/>
              </w:rPr>
            </w:pPr>
            <w:r>
              <w:rPr>
                <w:rFonts w:hint="eastAsia" w:ascii="仿宋" w:hAnsi="仿宋" w:eastAsia="仿宋" w:cs="仿宋"/>
                <w:sz w:val="28"/>
                <w:szCs w:val="28"/>
                <w:vertAlign w:val="baseline"/>
                <w:lang w:val="en-US" w:eastAsia="zh-CN"/>
              </w:rPr>
              <w:t>机票费</w:t>
            </w:r>
          </w:p>
        </w:tc>
        <w:tc>
          <w:tcPr>
            <w:tcW w:w="87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rPr>
                <w:rFonts w:hint="eastAsia" w:ascii="仿宋" w:hAnsi="仿宋" w:eastAsia="仿宋" w:cs="仿宋"/>
                <w:color w:val="000000"/>
                <w:kern w:val="0"/>
                <w:sz w:val="28"/>
                <w:szCs w:val="28"/>
              </w:rPr>
            </w:pPr>
            <w:r>
              <w:rPr>
                <w:rFonts w:hint="eastAsia" w:ascii="仿宋" w:hAnsi="仿宋" w:eastAsia="仿宋" w:cs="仿宋"/>
                <w:color w:val="000000" w:themeColor="text1"/>
                <w:kern w:val="0"/>
                <w:sz w:val="28"/>
                <w:szCs w:val="28"/>
                <w:lang w:val="en-US" w:eastAsia="zh-CN"/>
                <w14:textFill>
                  <w14:solidFill>
                    <w14:schemeClr w14:val="tx1"/>
                  </w14:solidFill>
                </w14:textFill>
              </w:rPr>
              <w:t>出访团成员5人，全程5套机票</w:t>
            </w:r>
          </w:p>
        </w:tc>
        <w:tc>
          <w:tcPr>
            <w:tcW w:w="2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color w:val="000000"/>
                <w:kern w:val="0"/>
                <w:sz w:val="28"/>
                <w:szCs w:val="28"/>
                <w:lang w:val="en-US" w:eastAsia="zh-CN"/>
              </w:rPr>
            </w:pPr>
          </w:p>
        </w:tc>
      </w:tr>
      <w:tr>
        <w:tblPrEx>
          <w:tblCellMar>
            <w:top w:w="0" w:type="dxa"/>
            <w:left w:w="108" w:type="dxa"/>
            <w:bottom w:w="0" w:type="dxa"/>
            <w:right w:w="108" w:type="dxa"/>
          </w:tblCellMar>
        </w:tblPrEx>
        <w:trPr>
          <w:trHeight w:val="592" w:hRule="atLeast"/>
        </w:trPr>
        <w:tc>
          <w:tcPr>
            <w:tcW w:w="79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268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仿宋" w:hAnsi="仿宋" w:eastAsia="仿宋" w:cs="仿宋"/>
                <w:color w:val="000000"/>
                <w:kern w:val="0"/>
                <w:sz w:val="28"/>
                <w:szCs w:val="28"/>
              </w:rPr>
            </w:pPr>
            <w:r>
              <w:rPr>
                <w:rFonts w:hint="eastAsia" w:ascii="仿宋" w:hAnsi="仿宋" w:eastAsia="仿宋" w:cs="仿宋"/>
                <w:sz w:val="28"/>
                <w:szCs w:val="28"/>
                <w:vertAlign w:val="baseline"/>
                <w:lang w:val="en-US" w:eastAsia="zh-CN"/>
              </w:rPr>
              <w:t>翻译费</w:t>
            </w:r>
          </w:p>
        </w:tc>
        <w:tc>
          <w:tcPr>
            <w:tcW w:w="87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出访全程陪同翻译，含翻译机票、住宿、餐饮补助</w:t>
            </w:r>
          </w:p>
        </w:tc>
        <w:tc>
          <w:tcPr>
            <w:tcW w:w="2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color w:val="000000"/>
                <w:kern w:val="0"/>
                <w:sz w:val="28"/>
                <w:szCs w:val="28"/>
                <w:lang w:val="en-US" w:eastAsia="zh-CN"/>
              </w:rPr>
            </w:pPr>
          </w:p>
        </w:tc>
      </w:tr>
      <w:tr>
        <w:tblPrEx>
          <w:tblCellMar>
            <w:top w:w="0" w:type="dxa"/>
            <w:left w:w="108" w:type="dxa"/>
            <w:bottom w:w="0" w:type="dxa"/>
            <w:right w:w="108" w:type="dxa"/>
          </w:tblCellMar>
        </w:tblPrEx>
        <w:trPr>
          <w:trHeight w:val="592" w:hRule="atLeast"/>
        </w:trPr>
        <w:tc>
          <w:tcPr>
            <w:tcW w:w="79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w:t>
            </w:r>
          </w:p>
        </w:tc>
        <w:tc>
          <w:tcPr>
            <w:tcW w:w="268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仿宋" w:hAnsi="仿宋" w:eastAsia="仿宋" w:cs="仿宋"/>
                <w:color w:val="000000"/>
                <w:kern w:val="0"/>
                <w:sz w:val="28"/>
                <w:szCs w:val="28"/>
              </w:rPr>
            </w:pPr>
            <w:r>
              <w:rPr>
                <w:rFonts w:hint="eastAsia" w:ascii="仿宋" w:hAnsi="仿宋" w:eastAsia="仿宋" w:cs="仿宋"/>
                <w:sz w:val="28"/>
                <w:szCs w:val="28"/>
                <w:vertAlign w:val="baseline"/>
                <w:lang w:val="en-US" w:eastAsia="zh-CN"/>
              </w:rPr>
              <w:t>住宿费</w:t>
            </w:r>
          </w:p>
        </w:tc>
        <w:tc>
          <w:tcPr>
            <w:tcW w:w="87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rPr>
                <w:rFonts w:hint="eastAsia" w:ascii="仿宋" w:hAnsi="仿宋" w:eastAsia="仿宋" w:cs="仿宋"/>
                <w:color w:val="000000"/>
                <w:kern w:val="0"/>
                <w:sz w:val="28"/>
                <w:szCs w:val="28"/>
                <w:lang w:val="en-US"/>
              </w:rPr>
            </w:pPr>
            <w:r>
              <w:rPr>
                <w:rFonts w:hint="eastAsia" w:ascii="仿宋" w:hAnsi="仿宋" w:eastAsia="仿宋" w:cs="仿宋"/>
                <w:color w:val="000000" w:themeColor="text1"/>
                <w:kern w:val="0"/>
                <w:sz w:val="28"/>
                <w:szCs w:val="28"/>
                <w:lang w:val="en-US" w:eastAsia="zh-CN"/>
                <w14:textFill>
                  <w14:solidFill>
                    <w14:schemeClr w14:val="tx1"/>
                  </w14:solidFill>
                </w14:textFill>
              </w:rPr>
              <w:t>莫斯科、巴尔瑙尔、圣彼得堡、阿拉木图4地5人住宿费</w:t>
            </w:r>
          </w:p>
        </w:tc>
        <w:tc>
          <w:tcPr>
            <w:tcW w:w="2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color w:val="000000"/>
                <w:kern w:val="0"/>
                <w:sz w:val="28"/>
                <w:szCs w:val="28"/>
                <w:lang w:val="en-US" w:eastAsia="zh-CN"/>
              </w:rPr>
            </w:pPr>
          </w:p>
        </w:tc>
      </w:tr>
      <w:tr>
        <w:tblPrEx>
          <w:tblCellMar>
            <w:top w:w="0" w:type="dxa"/>
            <w:left w:w="108" w:type="dxa"/>
            <w:bottom w:w="0" w:type="dxa"/>
            <w:right w:w="108" w:type="dxa"/>
          </w:tblCellMar>
        </w:tblPrEx>
        <w:trPr>
          <w:trHeight w:val="592" w:hRule="atLeast"/>
        </w:trPr>
        <w:tc>
          <w:tcPr>
            <w:tcW w:w="79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7</w:t>
            </w:r>
          </w:p>
        </w:tc>
        <w:tc>
          <w:tcPr>
            <w:tcW w:w="268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餐饮费</w:t>
            </w:r>
          </w:p>
        </w:tc>
        <w:tc>
          <w:tcPr>
            <w:tcW w:w="87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rPr>
                <w:rFonts w:hint="eastAsia" w:ascii="仿宋" w:hAnsi="仿宋" w:eastAsia="仿宋" w:cs="仿宋"/>
                <w:color w:val="000000" w:themeColor="text1"/>
                <w:kern w:val="0"/>
                <w:sz w:val="28"/>
                <w:szCs w:val="28"/>
                <w:lang w:val="en-US" w:eastAsia="zh-CN"/>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莫斯科、巴尔瑙尔、圣彼得堡、阿拉木图4地5人餐饮费</w:t>
            </w:r>
          </w:p>
        </w:tc>
        <w:tc>
          <w:tcPr>
            <w:tcW w:w="2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color w:val="000000"/>
                <w:kern w:val="0"/>
                <w:sz w:val="28"/>
                <w:szCs w:val="28"/>
                <w:lang w:val="en-US" w:eastAsia="zh-CN"/>
              </w:rPr>
            </w:pPr>
          </w:p>
        </w:tc>
      </w:tr>
      <w:tr>
        <w:tblPrEx>
          <w:tblCellMar>
            <w:top w:w="0" w:type="dxa"/>
            <w:left w:w="108" w:type="dxa"/>
            <w:bottom w:w="0" w:type="dxa"/>
            <w:right w:w="108" w:type="dxa"/>
          </w:tblCellMar>
        </w:tblPrEx>
        <w:trPr>
          <w:trHeight w:val="592" w:hRule="atLeast"/>
        </w:trPr>
        <w:tc>
          <w:tcPr>
            <w:tcW w:w="79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8</w:t>
            </w:r>
          </w:p>
        </w:tc>
        <w:tc>
          <w:tcPr>
            <w:tcW w:w="268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护照、签证、保险</w:t>
            </w:r>
          </w:p>
        </w:tc>
        <w:tc>
          <w:tcPr>
            <w:tcW w:w="87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rPr>
                <w:rFonts w:hint="eastAsia" w:ascii="仿宋" w:hAnsi="仿宋" w:eastAsia="仿宋" w:cs="仿宋"/>
                <w:color w:val="000000" w:themeColor="text1"/>
                <w:kern w:val="0"/>
                <w:sz w:val="28"/>
                <w:szCs w:val="28"/>
                <w:lang w:val="en-US" w:eastAsia="zh-CN"/>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出访团成员5人的护照、签证、保险费用</w:t>
            </w:r>
          </w:p>
        </w:tc>
        <w:tc>
          <w:tcPr>
            <w:tcW w:w="2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color w:val="000000"/>
                <w:kern w:val="0"/>
                <w:sz w:val="28"/>
                <w:szCs w:val="28"/>
                <w:lang w:val="en-US" w:eastAsia="zh-CN"/>
              </w:rPr>
            </w:pPr>
          </w:p>
        </w:tc>
      </w:tr>
      <w:tr>
        <w:tblPrEx>
          <w:tblCellMar>
            <w:top w:w="0" w:type="dxa"/>
            <w:left w:w="108" w:type="dxa"/>
            <w:bottom w:w="0" w:type="dxa"/>
            <w:right w:w="108" w:type="dxa"/>
          </w:tblCellMar>
        </w:tblPrEx>
        <w:trPr>
          <w:trHeight w:val="592" w:hRule="atLeast"/>
        </w:trPr>
        <w:tc>
          <w:tcPr>
            <w:tcW w:w="12206" w:type="dxa"/>
            <w:gridSpan w:val="3"/>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abs>
                <w:tab w:val="left" w:pos="4004"/>
              </w:tabs>
              <w:snapToGrid w:val="0"/>
              <w:rPr>
                <w:rFonts w:hint="eastAsia" w:ascii="仿宋" w:hAnsi="仿宋" w:eastAsia="仿宋" w:cs="仿宋"/>
                <w:color w:val="000000" w:themeColor="text1"/>
                <w:kern w:val="0"/>
                <w:sz w:val="28"/>
                <w:szCs w:val="28"/>
                <w:lang w:val="en-US" w:eastAsia="zh-CN"/>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ab/>
            </w:r>
            <w:r>
              <w:rPr>
                <w:rFonts w:hint="eastAsia" w:ascii="仿宋" w:hAnsi="仿宋" w:eastAsia="仿宋" w:cs="仿宋"/>
                <w:color w:val="000000" w:themeColor="text1"/>
                <w:kern w:val="0"/>
                <w:sz w:val="28"/>
                <w:szCs w:val="28"/>
                <w:lang w:val="en-US" w:eastAsia="zh-CN"/>
                <w14:textFill>
                  <w14:solidFill>
                    <w14:schemeClr w14:val="tx1"/>
                  </w14:solidFill>
                </w14:textFill>
              </w:rPr>
              <w:t>合   计</w:t>
            </w:r>
          </w:p>
        </w:tc>
        <w:tc>
          <w:tcPr>
            <w:tcW w:w="2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仿宋" w:hAnsi="仿宋" w:eastAsia="仿宋" w:cs="仿宋"/>
                <w:color w:val="000000"/>
                <w:kern w:val="0"/>
                <w:sz w:val="28"/>
                <w:szCs w:val="28"/>
                <w:lang w:val="en-US" w:eastAsia="zh-CN"/>
              </w:rPr>
            </w:pPr>
          </w:p>
        </w:tc>
      </w:tr>
    </w:tbl>
    <w:p>
      <w:pPr>
        <w:rPr>
          <w:rFonts w:hint="eastAsia" w:ascii="仿宋" w:hAnsi="仿宋" w:eastAsia="仿宋" w:cs="仿宋"/>
          <w:sz w:val="28"/>
          <w:szCs w:val="28"/>
        </w:rPr>
        <w:sectPr>
          <w:pgSz w:w="16838" w:h="11906" w:orient="landscape"/>
          <w:pgMar w:top="964" w:right="567" w:bottom="1134" w:left="567" w:header="851" w:footer="992" w:gutter="0"/>
          <w:cols w:space="425" w:num="1"/>
          <w:docGrid w:type="linesAndChars" w:linePitch="312" w:charSpace="0"/>
        </w:sectPr>
      </w:pPr>
    </w:p>
    <w:p>
      <w:pPr>
        <w:pStyle w:val="2"/>
        <w:spacing w:before="0" w:beforeAutospacing="0" w:after="0" w:afterAutospacing="0" w:line="240" w:lineRule="auto"/>
        <w:ind w:left="0" w:leftChars="0" w:firstLine="0" w:firstLineChars="0"/>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7C7A63"/>
    <w:multiLevelType w:val="singleLevel"/>
    <w:tmpl w:val="B17C7A63"/>
    <w:lvl w:ilvl="0" w:tentative="0">
      <w:start w:val="2"/>
      <w:numFmt w:val="chineseCounting"/>
      <w:suff w:val="nothing"/>
      <w:lvlText w:val="%1、"/>
      <w:lvlJc w:val="left"/>
      <w:rPr>
        <w:rFonts w:hint="eastAsia"/>
      </w:rPr>
    </w:lvl>
  </w:abstractNum>
  <w:abstractNum w:abstractNumId="1">
    <w:nsid w:val="CFF22090"/>
    <w:multiLevelType w:val="singleLevel"/>
    <w:tmpl w:val="CFF22090"/>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NDljOTA3NGJiZTQwZDk2ZGY5NGRmMTgwNWM3NTQifQ=="/>
  </w:docVars>
  <w:rsids>
    <w:rsidRoot w:val="16A43553"/>
    <w:rsid w:val="000912BC"/>
    <w:rsid w:val="00104047"/>
    <w:rsid w:val="002100F7"/>
    <w:rsid w:val="00325797"/>
    <w:rsid w:val="0044618C"/>
    <w:rsid w:val="004C231C"/>
    <w:rsid w:val="004F117E"/>
    <w:rsid w:val="00712A4B"/>
    <w:rsid w:val="00833960"/>
    <w:rsid w:val="00881528"/>
    <w:rsid w:val="009A249D"/>
    <w:rsid w:val="00A5490E"/>
    <w:rsid w:val="00A55F70"/>
    <w:rsid w:val="00CD4642"/>
    <w:rsid w:val="00D65168"/>
    <w:rsid w:val="00FD3153"/>
    <w:rsid w:val="103764D9"/>
    <w:rsid w:val="13584C65"/>
    <w:rsid w:val="16A43553"/>
    <w:rsid w:val="1C4C19A7"/>
    <w:rsid w:val="20FC33BD"/>
    <w:rsid w:val="21B33111"/>
    <w:rsid w:val="22587D10"/>
    <w:rsid w:val="260C6BFA"/>
    <w:rsid w:val="26954408"/>
    <w:rsid w:val="295314EB"/>
    <w:rsid w:val="3B781D15"/>
    <w:rsid w:val="3C2C4E7E"/>
    <w:rsid w:val="42C22298"/>
    <w:rsid w:val="4E2D0F9B"/>
    <w:rsid w:val="53E606FA"/>
    <w:rsid w:val="567F7FA4"/>
    <w:rsid w:val="58346B6C"/>
    <w:rsid w:val="58425D4E"/>
    <w:rsid w:val="5A7B6CD4"/>
    <w:rsid w:val="5BFF7DB3"/>
    <w:rsid w:val="6403732E"/>
    <w:rsid w:val="67520DBA"/>
    <w:rsid w:val="6BB522FF"/>
    <w:rsid w:val="6EB42D97"/>
    <w:rsid w:val="79AB4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iPriority="99"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4">
    <w:name w:val="heading 3"/>
    <w:basedOn w:val="1"/>
    <w:next w:val="1"/>
    <w:autoRedefine/>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 New"/>
    <w:basedOn w:val="1"/>
    <w:autoRedefine/>
    <w:qFormat/>
    <w:uiPriority w:val="0"/>
    <w:pPr>
      <w:spacing w:before="100" w:beforeAutospacing="1" w:after="100" w:afterAutospacing="1" w:line="440" w:lineRule="exact"/>
      <w:ind w:left="357" w:hanging="357"/>
    </w:pPr>
    <w:rPr>
      <w:szCs w:val="21"/>
    </w:rPr>
  </w:style>
  <w:style w:type="paragraph" w:styleId="5">
    <w:name w:val="Normal Indent"/>
    <w:basedOn w:val="1"/>
    <w:next w:val="6"/>
    <w:autoRedefine/>
    <w:qFormat/>
    <w:uiPriority w:val="99"/>
    <w:pPr>
      <w:ind w:firstLine="420"/>
    </w:pPr>
  </w:style>
  <w:style w:type="paragraph" w:styleId="6">
    <w:name w:val="Body Text First Indent 2"/>
    <w:basedOn w:val="7"/>
    <w:next w:val="1"/>
    <w:autoRedefine/>
    <w:qFormat/>
    <w:uiPriority w:val="0"/>
    <w:pPr>
      <w:ind w:firstLine="420" w:firstLineChars="200"/>
    </w:pPr>
  </w:style>
  <w:style w:type="paragraph" w:styleId="7">
    <w:name w:val="Body Text Indent"/>
    <w:basedOn w:val="1"/>
    <w:next w:val="8"/>
    <w:autoRedefine/>
    <w:qFormat/>
    <w:uiPriority w:val="0"/>
    <w:pPr>
      <w:ind w:firstLine="645"/>
    </w:pPr>
    <w:rPr>
      <w:sz w:val="20"/>
    </w:rPr>
  </w:style>
  <w:style w:type="paragraph" w:styleId="8">
    <w:name w:val="envelope return"/>
    <w:basedOn w:val="1"/>
    <w:autoRedefine/>
    <w:unhideWhenUsed/>
    <w:qFormat/>
    <w:uiPriority w:val="99"/>
    <w:pPr>
      <w:snapToGrid w:val="0"/>
    </w:pPr>
    <w:rPr>
      <w:rFonts w:ascii="Arial" w:hAnsi="Arial"/>
    </w:rPr>
  </w:style>
  <w:style w:type="paragraph" w:styleId="9">
    <w:name w:val="Block Text"/>
    <w:basedOn w:val="1"/>
    <w:autoRedefine/>
    <w:unhideWhenUsed/>
    <w:qFormat/>
    <w:uiPriority w:val="99"/>
    <w:pPr>
      <w:spacing w:after="120"/>
      <w:ind w:left="1440" w:leftChars="700" w:right="1440" w:rightChars="700"/>
    </w:pPr>
    <w:rPr>
      <w:szCs w:val="24"/>
    </w:rPr>
  </w:style>
  <w:style w:type="paragraph" w:styleId="10">
    <w:name w:val="Plain Text"/>
    <w:basedOn w:val="1"/>
    <w:autoRedefine/>
    <w:qFormat/>
    <w:uiPriority w:val="99"/>
    <w:rPr>
      <w:rFonts w:ascii="宋体" w:hAnsi="Courier New" w:cs="Courier New"/>
      <w:szCs w:val="21"/>
    </w:rPr>
  </w:style>
  <w:style w:type="paragraph" w:styleId="11">
    <w:name w:val="Balloon Text"/>
    <w:basedOn w:val="1"/>
    <w:link w:val="19"/>
    <w:autoRedefine/>
    <w:qFormat/>
    <w:uiPriority w:val="0"/>
    <w:rPr>
      <w:sz w:val="18"/>
      <w:szCs w:val="18"/>
    </w:rPr>
  </w:style>
  <w:style w:type="paragraph" w:styleId="12">
    <w:name w:val="footer"/>
    <w:basedOn w:val="1"/>
    <w:autoRedefine/>
    <w:qFormat/>
    <w:uiPriority w:val="0"/>
    <w:pPr>
      <w:tabs>
        <w:tab w:val="center" w:pos="4153"/>
        <w:tab w:val="right" w:pos="8306"/>
      </w:tabs>
      <w:snapToGrid w:val="0"/>
      <w:jc w:val="left"/>
    </w:pPr>
    <w:rPr>
      <w:sz w:val="18"/>
      <w:szCs w:val="18"/>
    </w:rPr>
  </w:style>
  <w:style w:type="paragraph" w:styleId="13">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7">
    <w:name w:val="List Paragraph"/>
    <w:basedOn w:val="1"/>
    <w:autoRedefine/>
    <w:unhideWhenUsed/>
    <w:qFormat/>
    <w:uiPriority w:val="34"/>
    <w:pPr>
      <w:ind w:firstLine="420" w:firstLineChars="200"/>
    </w:pPr>
    <w:rPr>
      <w:rFonts w:asciiTheme="minorHAnsi" w:hAnsiTheme="minorHAnsi" w:eastAsiaTheme="minorEastAsia" w:cstheme="minorBidi"/>
      <w:szCs w:val="24"/>
    </w:rPr>
  </w:style>
  <w:style w:type="character" w:customStyle="1" w:styleId="18">
    <w:name w:val="页眉 字符"/>
    <w:basedOn w:val="16"/>
    <w:link w:val="13"/>
    <w:autoRedefine/>
    <w:qFormat/>
    <w:uiPriority w:val="0"/>
    <w:rPr>
      <w:rFonts w:ascii="Times New Roman" w:hAnsi="Times New Roman" w:eastAsia="宋体" w:cs="Times New Roman"/>
      <w:kern w:val="2"/>
      <w:sz w:val="18"/>
      <w:szCs w:val="18"/>
    </w:rPr>
  </w:style>
  <w:style w:type="character" w:customStyle="1" w:styleId="19">
    <w:name w:val="批注框文本 字符"/>
    <w:basedOn w:val="16"/>
    <w:link w:val="11"/>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1714</Words>
  <Characters>1809</Characters>
  <Lines>17</Lines>
  <Paragraphs>4</Paragraphs>
  <TotalTime>0</TotalTime>
  <ScaleCrop>false</ScaleCrop>
  <LinksUpToDate>false</LinksUpToDate>
  <CharactersWithSpaces>1814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2024-02-08T02:50:00Z</dcterms:created>
  <dc:creator>叶叶叶</dc:creator>
  <cp:lastModifiedBy>品诺酒店用品</cp:lastModifiedBy>
  <dcterms:modified xsi:type="dcterms:W3CDTF">2024-03-12T08:27:53Z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8565232CB27D4F04A203E9DE20355C1F_13</vt:lpwstr>
  </property>
</Properties>
</file>